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64D53" w14:textId="77777777" w:rsidR="00F85B31" w:rsidRDefault="00B87B29">
      <w:pPr>
        <w:spacing w:line="600" w:lineRule="exact"/>
        <w:jc w:val="left"/>
        <w:rPr>
          <w:rFonts w:eastAsia="黑体"/>
          <w:sz w:val="32"/>
          <w:szCs w:val="32"/>
        </w:rPr>
      </w:pPr>
      <w:bookmarkStart w:id="0" w:name="OLE_LINK9"/>
      <w:bookmarkStart w:id="1" w:name="OLE_LINK22"/>
      <w:r>
        <w:rPr>
          <w:rFonts w:eastAsia="黑体" w:hint="eastAsia"/>
          <w:sz w:val="32"/>
          <w:szCs w:val="32"/>
        </w:rPr>
        <w:t>附件</w:t>
      </w:r>
    </w:p>
    <w:p w14:paraId="74911D4D" w14:textId="77777777" w:rsidR="00F85B31" w:rsidRDefault="00B87B29">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《特种设备生产和充装单位许可规则》</w:t>
      </w:r>
      <w:r>
        <w:rPr>
          <w:rFonts w:ascii="方正小标宋简体" w:eastAsia="方正小标宋简体" w:hAnsi="方正小标宋简体" w:cs="方正小标宋简体" w:hint="eastAsia"/>
          <w:sz w:val="32"/>
          <w:szCs w:val="32"/>
        </w:rPr>
        <w:t>(TSG 07</w:t>
      </w:r>
      <w:r>
        <w:rPr>
          <w:rFonts w:ascii="方正小标宋简体" w:eastAsia="方正小标宋简体" w:hAnsi="方正小标宋简体" w:cs="方正小标宋简体" w:hint="eastAsia"/>
          <w:sz w:val="32"/>
          <w:szCs w:val="32"/>
        </w:rPr>
        <w:t>—</w:t>
      </w:r>
      <w:r>
        <w:rPr>
          <w:rFonts w:ascii="方正小标宋简体" w:eastAsia="方正小标宋简体" w:hAnsi="方正小标宋简体" w:cs="方正小标宋简体" w:hint="eastAsia"/>
          <w:sz w:val="32"/>
          <w:szCs w:val="32"/>
        </w:rPr>
        <w:t>2019)</w:t>
      </w:r>
    </w:p>
    <w:p w14:paraId="7E1DFCFE" w14:textId="77777777" w:rsidR="00F85B31" w:rsidRDefault="00B87B29">
      <w:pPr>
        <w:spacing w:line="600" w:lineRule="exact"/>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2"/>
          <w:szCs w:val="32"/>
        </w:rPr>
        <w:t>第</w:t>
      </w:r>
      <w:r>
        <w:rPr>
          <w:rFonts w:ascii="方正小标宋简体" w:eastAsia="方正小标宋简体" w:hAnsi="方正小标宋简体" w:cs="方正小标宋简体" w:hint="eastAsia"/>
          <w:sz w:val="32"/>
          <w:szCs w:val="32"/>
        </w:rPr>
        <w:t>1</w:t>
      </w:r>
      <w:r>
        <w:rPr>
          <w:rFonts w:ascii="方正小标宋简体" w:eastAsia="方正小标宋简体" w:hAnsi="方正小标宋简体" w:cs="方正小标宋简体" w:hint="eastAsia"/>
          <w:sz w:val="32"/>
          <w:szCs w:val="32"/>
        </w:rPr>
        <w:t>号修改单</w:t>
      </w:r>
      <w:r>
        <w:rPr>
          <w:rFonts w:ascii="方正小标宋简体" w:eastAsia="方正小标宋简体" w:hAnsi="方正小标宋简体" w:cs="方正小标宋简体" w:hint="eastAsia"/>
          <w:sz w:val="32"/>
          <w:szCs w:val="32"/>
        </w:rPr>
        <w:t>（</w:t>
      </w:r>
      <w:r>
        <w:rPr>
          <w:rFonts w:ascii="方正小标宋简体" w:eastAsia="方正小标宋简体" w:hAnsi="方正小标宋简体" w:cs="方正小标宋简体" w:hint="eastAsia"/>
          <w:sz w:val="32"/>
          <w:szCs w:val="32"/>
        </w:rPr>
        <w:t>征求意见稿</w:t>
      </w:r>
      <w:r>
        <w:rPr>
          <w:rFonts w:ascii="方正小标宋简体" w:eastAsia="方正小标宋简体" w:hAnsi="方正小标宋简体" w:cs="方正小标宋简体" w:hint="eastAsia"/>
          <w:sz w:val="32"/>
          <w:szCs w:val="32"/>
        </w:rPr>
        <w:t>）</w:t>
      </w:r>
    </w:p>
    <w:p w14:paraId="5F7F9D60" w14:textId="77777777" w:rsidR="00F85B31" w:rsidRDefault="00F85B31">
      <w:pPr>
        <w:spacing w:line="360" w:lineRule="auto"/>
        <w:rPr>
          <w:szCs w:val="21"/>
        </w:rPr>
      </w:pPr>
    </w:p>
    <w:tbl>
      <w:tblPr>
        <w:tblW w:w="91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82"/>
        <w:gridCol w:w="2838"/>
        <w:gridCol w:w="5269"/>
      </w:tblGrid>
      <w:tr w:rsidR="00F85B31" w14:paraId="7E8E8CED" w14:textId="77777777">
        <w:trPr>
          <w:trHeight w:val="454"/>
          <w:tblHeader/>
        </w:trPr>
        <w:tc>
          <w:tcPr>
            <w:tcW w:w="1082" w:type="dxa"/>
            <w:vAlign w:val="center"/>
          </w:tcPr>
          <w:p w14:paraId="3DC54484" w14:textId="77777777" w:rsidR="00F85B31" w:rsidRDefault="00B87B29">
            <w:pPr>
              <w:spacing w:line="280" w:lineRule="exact"/>
              <w:jc w:val="center"/>
              <w:rPr>
                <w:sz w:val="24"/>
              </w:rPr>
            </w:pPr>
            <w:bookmarkStart w:id="2" w:name="OLE_LINK23"/>
            <w:bookmarkEnd w:id="0"/>
            <w:bookmarkEnd w:id="1"/>
            <w:r>
              <w:rPr>
                <w:sz w:val="24"/>
              </w:rPr>
              <w:t>条款号</w:t>
            </w:r>
          </w:p>
        </w:tc>
        <w:tc>
          <w:tcPr>
            <w:tcW w:w="2838" w:type="dxa"/>
            <w:vAlign w:val="center"/>
          </w:tcPr>
          <w:p w14:paraId="53E25138" w14:textId="77777777" w:rsidR="00F85B31" w:rsidRDefault="00B87B29">
            <w:pPr>
              <w:spacing w:line="280" w:lineRule="exact"/>
              <w:jc w:val="center"/>
              <w:rPr>
                <w:sz w:val="24"/>
              </w:rPr>
            </w:pPr>
            <w:r>
              <w:rPr>
                <w:sz w:val="24"/>
              </w:rPr>
              <w:t>原文内容</w:t>
            </w:r>
          </w:p>
        </w:tc>
        <w:tc>
          <w:tcPr>
            <w:tcW w:w="5269" w:type="dxa"/>
            <w:vAlign w:val="center"/>
          </w:tcPr>
          <w:p w14:paraId="2C52C64F" w14:textId="77777777" w:rsidR="00F85B31" w:rsidRDefault="00B87B29">
            <w:pPr>
              <w:widowControl/>
              <w:spacing w:line="280" w:lineRule="exact"/>
              <w:jc w:val="center"/>
              <w:rPr>
                <w:sz w:val="24"/>
              </w:rPr>
            </w:pPr>
            <w:r>
              <w:rPr>
                <w:sz w:val="24"/>
              </w:rPr>
              <w:t>修改</w:t>
            </w:r>
            <w:proofErr w:type="gramStart"/>
            <w:r>
              <w:rPr>
                <w:sz w:val="24"/>
              </w:rPr>
              <w:t>后内容</w:t>
            </w:r>
            <w:proofErr w:type="gramEnd"/>
          </w:p>
        </w:tc>
      </w:tr>
      <w:tr w:rsidR="00F85B31" w14:paraId="1D0AF7F4" w14:textId="77777777">
        <w:trPr>
          <w:trHeight w:val="3809"/>
        </w:trPr>
        <w:tc>
          <w:tcPr>
            <w:tcW w:w="1082" w:type="dxa"/>
            <w:vAlign w:val="center"/>
          </w:tcPr>
          <w:p w14:paraId="3DC16432" w14:textId="77777777" w:rsidR="00F85B31" w:rsidRDefault="00F85B31">
            <w:pPr>
              <w:jc w:val="center"/>
              <w:rPr>
                <w:kern w:val="24"/>
                <w:sz w:val="24"/>
              </w:rPr>
            </w:pPr>
          </w:p>
        </w:tc>
        <w:tc>
          <w:tcPr>
            <w:tcW w:w="2838" w:type="dxa"/>
            <w:vAlign w:val="center"/>
          </w:tcPr>
          <w:p w14:paraId="3F2DB4FF" w14:textId="77777777" w:rsidR="00F85B31" w:rsidRDefault="00B87B29">
            <w:pPr>
              <w:ind w:firstLineChars="200" w:firstLine="480"/>
              <w:rPr>
                <w:sz w:val="24"/>
              </w:rPr>
            </w:pPr>
            <w:r>
              <w:rPr>
                <w:sz w:val="24"/>
              </w:rPr>
              <w:t>增加一条</w:t>
            </w:r>
          </w:p>
        </w:tc>
        <w:tc>
          <w:tcPr>
            <w:tcW w:w="5269" w:type="dxa"/>
            <w:vAlign w:val="center"/>
          </w:tcPr>
          <w:p w14:paraId="57856484" w14:textId="77777777" w:rsidR="00F85B31" w:rsidRDefault="00B87B29">
            <w:pPr>
              <w:rPr>
                <w:sz w:val="24"/>
              </w:rPr>
            </w:pPr>
            <w:r>
              <w:rPr>
                <w:rFonts w:ascii="黑体" w:eastAsia="黑体" w:hAnsi="黑体" w:cs="黑体" w:hint="eastAsia"/>
                <w:sz w:val="24"/>
              </w:rPr>
              <w:t>1.</w:t>
            </w:r>
            <w:r>
              <w:rPr>
                <w:rFonts w:ascii="黑体" w:eastAsia="黑体" w:hAnsi="黑体" w:cs="黑体" w:hint="eastAsia"/>
                <w:sz w:val="24"/>
              </w:rPr>
              <w:t>5</w:t>
            </w:r>
            <w:r>
              <w:rPr>
                <w:rFonts w:hint="eastAsia"/>
                <w:sz w:val="24"/>
              </w:rPr>
              <w:t xml:space="preserve"> </w:t>
            </w:r>
            <w:r>
              <w:rPr>
                <w:rFonts w:hint="eastAsia"/>
                <w:b/>
                <w:bCs/>
                <w:sz w:val="24"/>
              </w:rPr>
              <w:t>信息化要求</w:t>
            </w:r>
          </w:p>
          <w:p w14:paraId="336DF98A" w14:textId="77777777" w:rsidR="00F85B31" w:rsidRDefault="00B87B29">
            <w:pPr>
              <w:ind w:firstLineChars="200" w:firstLine="480"/>
              <w:rPr>
                <w:b/>
                <w:bCs/>
                <w:sz w:val="24"/>
              </w:rPr>
            </w:pPr>
            <w:r>
              <w:rPr>
                <w:rFonts w:ascii="宋体" w:hAnsi="宋体" w:cs="宋体" w:hint="eastAsia"/>
                <w:sz w:val="24"/>
              </w:rPr>
              <w:t>由市场监管总局实施以及市场监管总局依法授权省级特种设备安全监管部门实施的行政许可，统一使用市场监管总局行政许可审批系统进行申请、受理和批准，颁发电子证书。法律、行政法规规定由省级特种设备安全监管部门实施的修理和充装许可，也可以使用市场监管总局行政许可审批系统。暂时不使用市场监管总局行政许可审批系统的，应当与市场监管总局行政许可审批系统实现有关行政许可审批信息的互联互通，方便许可证书在全国范围内使用。</w:t>
            </w:r>
          </w:p>
        </w:tc>
      </w:tr>
      <w:tr w:rsidR="00F85B31" w14:paraId="799CA755" w14:textId="77777777">
        <w:trPr>
          <w:trHeight w:val="1968"/>
        </w:trPr>
        <w:tc>
          <w:tcPr>
            <w:tcW w:w="1082" w:type="dxa"/>
            <w:vAlign w:val="center"/>
          </w:tcPr>
          <w:p w14:paraId="48D716CB" w14:textId="77777777" w:rsidR="00F85B31" w:rsidRDefault="00B87B29">
            <w:pPr>
              <w:jc w:val="center"/>
              <w:rPr>
                <w:rFonts w:ascii="Times New Roman" w:hAnsi="Times New Roman"/>
                <w:kern w:val="24"/>
                <w:sz w:val="24"/>
              </w:rPr>
            </w:pPr>
            <w:r>
              <w:rPr>
                <w:kern w:val="24"/>
                <w:sz w:val="24"/>
              </w:rPr>
              <w:t>2</w:t>
            </w:r>
            <w:r>
              <w:rPr>
                <w:rFonts w:hint="eastAsia"/>
                <w:kern w:val="24"/>
                <w:sz w:val="24"/>
              </w:rPr>
              <w:t>.</w:t>
            </w:r>
            <w:r>
              <w:rPr>
                <w:kern w:val="24"/>
                <w:sz w:val="24"/>
              </w:rPr>
              <w:t>2</w:t>
            </w:r>
            <w:r>
              <w:rPr>
                <w:rFonts w:hint="eastAsia"/>
                <w:kern w:val="24"/>
                <w:sz w:val="24"/>
              </w:rPr>
              <w:t>.</w:t>
            </w:r>
            <w:r>
              <w:rPr>
                <w:kern w:val="24"/>
                <w:sz w:val="24"/>
              </w:rPr>
              <w:t>4.2</w:t>
            </w:r>
          </w:p>
        </w:tc>
        <w:tc>
          <w:tcPr>
            <w:tcW w:w="2838" w:type="dxa"/>
            <w:vAlign w:val="center"/>
          </w:tcPr>
          <w:p w14:paraId="7E924AB3" w14:textId="77777777" w:rsidR="00F85B31" w:rsidRDefault="00B87B29">
            <w:pPr>
              <w:ind w:firstLineChars="200" w:firstLine="480"/>
              <w:rPr>
                <w:rFonts w:ascii="Times New Roman" w:eastAsia="Times New Roman" w:hAnsi="Times New Roman"/>
                <w:sz w:val="24"/>
                <w:lang w:eastAsia="zh-Hans"/>
              </w:rPr>
            </w:pPr>
            <w:r>
              <w:rPr>
                <w:rFonts w:hint="eastAsia"/>
                <w:sz w:val="24"/>
                <w:lang w:eastAsia="zh-Hans"/>
              </w:rPr>
              <w:t>本条增加一项</w:t>
            </w:r>
          </w:p>
        </w:tc>
        <w:tc>
          <w:tcPr>
            <w:tcW w:w="5269" w:type="dxa"/>
            <w:vAlign w:val="center"/>
          </w:tcPr>
          <w:p w14:paraId="4D48B6E1" w14:textId="77777777" w:rsidR="00F85B31" w:rsidRDefault="00B87B29">
            <w:pPr>
              <w:ind w:firstLineChars="200" w:firstLine="480"/>
              <w:rPr>
                <w:b/>
                <w:bCs/>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公司与其跨省设立的子公司或者分公司共同申请同一设计许可或者制造许可时，其设计或者制造许可的资源条件应当分别满足相应的许可资源条件，不允许跨省共享资源条件。</w:t>
            </w:r>
          </w:p>
        </w:tc>
      </w:tr>
      <w:tr w:rsidR="00F85B31" w14:paraId="2179A8EC" w14:textId="77777777">
        <w:trPr>
          <w:trHeight w:val="3351"/>
        </w:trPr>
        <w:tc>
          <w:tcPr>
            <w:tcW w:w="1082" w:type="dxa"/>
            <w:vAlign w:val="center"/>
          </w:tcPr>
          <w:p w14:paraId="09CC60AB" w14:textId="77777777" w:rsidR="00F85B31" w:rsidRDefault="00F85B31">
            <w:pPr>
              <w:jc w:val="center"/>
              <w:rPr>
                <w:bCs/>
                <w:color w:val="000000"/>
                <w:sz w:val="24"/>
              </w:rPr>
            </w:pPr>
          </w:p>
        </w:tc>
        <w:tc>
          <w:tcPr>
            <w:tcW w:w="2838" w:type="dxa"/>
            <w:vAlign w:val="center"/>
          </w:tcPr>
          <w:p w14:paraId="00A52C1C" w14:textId="77777777" w:rsidR="00F85B31" w:rsidRDefault="00B87B29">
            <w:pPr>
              <w:ind w:firstLineChars="200" w:firstLine="480"/>
              <w:rPr>
                <w:bCs/>
                <w:color w:val="000000"/>
                <w:sz w:val="24"/>
              </w:rPr>
            </w:pPr>
            <w:r>
              <w:rPr>
                <w:sz w:val="24"/>
              </w:rPr>
              <w:t>增加</w:t>
            </w:r>
            <w:r>
              <w:rPr>
                <w:bCs/>
                <w:color w:val="000000"/>
                <w:sz w:val="24"/>
              </w:rPr>
              <w:t>一条</w:t>
            </w:r>
          </w:p>
        </w:tc>
        <w:tc>
          <w:tcPr>
            <w:tcW w:w="5269" w:type="dxa"/>
            <w:vAlign w:val="center"/>
          </w:tcPr>
          <w:p w14:paraId="5B99D32F" w14:textId="77777777" w:rsidR="00F85B31" w:rsidRDefault="00B87B29">
            <w:pPr>
              <w:rPr>
                <w:b/>
                <w:bCs/>
                <w:sz w:val="24"/>
              </w:rPr>
            </w:pPr>
            <w:r>
              <w:rPr>
                <w:rFonts w:hint="eastAsia"/>
                <w:sz w:val="24"/>
              </w:rPr>
              <w:t xml:space="preserve">4.2  </w:t>
            </w:r>
            <w:r>
              <w:rPr>
                <w:rFonts w:hint="eastAsia"/>
                <w:b/>
                <w:bCs/>
                <w:sz w:val="24"/>
              </w:rPr>
              <w:t>鉴定评审机构</w:t>
            </w:r>
          </w:p>
          <w:p w14:paraId="3747A7F0" w14:textId="77777777" w:rsidR="00F85B31" w:rsidRDefault="00B87B29">
            <w:pPr>
              <w:ind w:firstLineChars="200" w:firstLine="480"/>
              <w:rPr>
                <w:sz w:val="24"/>
              </w:rPr>
            </w:pPr>
            <w:r>
              <w:rPr>
                <w:rFonts w:hint="eastAsia"/>
                <w:sz w:val="24"/>
              </w:rPr>
              <w:t>承担特种设备生产</w:t>
            </w:r>
            <w:r>
              <w:rPr>
                <w:rFonts w:ascii="宋体" w:hAnsi="宋体" w:cs="宋体" w:hint="eastAsia"/>
                <w:sz w:val="24"/>
              </w:rPr>
              <w:t>(</w:t>
            </w:r>
            <w:r>
              <w:rPr>
                <w:rFonts w:ascii="宋体" w:hAnsi="宋体" w:cs="宋体" w:hint="eastAsia"/>
                <w:sz w:val="24"/>
              </w:rPr>
              <w:t>不含设计</w:t>
            </w:r>
            <w:r>
              <w:rPr>
                <w:rFonts w:ascii="宋体" w:hAnsi="宋体" w:cs="宋体" w:hint="eastAsia"/>
                <w:sz w:val="24"/>
              </w:rPr>
              <w:t>)</w:t>
            </w:r>
            <w:r>
              <w:rPr>
                <w:rFonts w:hint="eastAsia"/>
                <w:sz w:val="24"/>
              </w:rPr>
              <w:t>许可鉴定评审工作的鉴定评审机构，应当具有相应的特种设备检验资质。其中，机电类设备、气瓶制造许可鉴定评审机构应当具有相应的型式试验资质，其他生产许可鉴定评审机构应当具有相应的型式试验或者监督检验资质。</w:t>
            </w:r>
          </w:p>
          <w:p w14:paraId="53027CC6" w14:textId="77777777" w:rsidR="00F85B31" w:rsidRDefault="00B87B29">
            <w:pPr>
              <w:ind w:firstLineChars="200" w:firstLine="480"/>
              <w:rPr>
                <w:b/>
                <w:bCs/>
                <w:sz w:val="24"/>
              </w:rPr>
            </w:pPr>
            <w:r>
              <w:rPr>
                <w:rFonts w:hint="eastAsia"/>
                <w:sz w:val="24"/>
              </w:rPr>
              <w:t>发证机关可自行组织或委托鉴定评审机构对企业进行现场鉴定评审，发证后按“双随机、</w:t>
            </w:r>
            <w:proofErr w:type="gramStart"/>
            <w:r>
              <w:rPr>
                <w:rFonts w:hint="eastAsia"/>
                <w:sz w:val="24"/>
              </w:rPr>
              <w:t>一</w:t>
            </w:r>
            <w:proofErr w:type="gramEnd"/>
            <w:r>
              <w:rPr>
                <w:rFonts w:hint="eastAsia"/>
                <w:sz w:val="24"/>
              </w:rPr>
              <w:t>公开”原则安排监督抽查。</w:t>
            </w:r>
          </w:p>
        </w:tc>
      </w:tr>
    </w:tbl>
    <w:bookmarkEnd w:id="2"/>
    <w:p w14:paraId="53523C47" w14:textId="77777777" w:rsidR="00F85B31" w:rsidRDefault="00B87B29">
      <w:pPr>
        <w:spacing w:line="360" w:lineRule="auto"/>
        <w:ind w:firstLineChars="200" w:firstLine="480"/>
      </w:pPr>
      <w:r>
        <w:rPr>
          <w:rFonts w:hint="eastAsia"/>
          <w:sz w:val="24"/>
        </w:rPr>
        <w:t>注：原</w:t>
      </w:r>
      <w:r>
        <w:rPr>
          <w:rFonts w:hint="eastAsia"/>
          <w:sz w:val="24"/>
        </w:rPr>
        <w:t>1.5</w:t>
      </w:r>
      <w:r>
        <w:rPr>
          <w:rFonts w:hint="eastAsia"/>
          <w:sz w:val="24"/>
        </w:rPr>
        <w:t>条序号改为“</w:t>
      </w:r>
      <w:r>
        <w:rPr>
          <w:rFonts w:hint="eastAsia"/>
          <w:sz w:val="24"/>
        </w:rPr>
        <w:t>1.6</w:t>
      </w:r>
      <w:r>
        <w:rPr>
          <w:rFonts w:hint="eastAsia"/>
          <w:sz w:val="24"/>
        </w:rPr>
        <w:t>”；原</w:t>
      </w:r>
      <w:r>
        <w:rPr>
          <w:rFonts w:hint="eastAsia"/>
          <w:sz w:val="24"/>
        </w:rPr>
        <w:t>2.2.4.2</w:t>
      </w:r>
      <w:r>
        <w:rPr>
          <w:rFonts w:hint="eastAsia"/>
          <w:sz w:val="24"/>
        </w:rPr>
        <w:t>条</w:t>
      </w:r>
      <w:r>
        <w:rPr>
          <w:rFonts w:ascii="宋体" w:hAnsi="宋体" w:cs="宋体" w:hint="eastAsia"/>
          <w:sz w:val="24"/>
        </w:rPr>
        <w:t>(</w:t>
      </w:r>
      <w:r>
        <w:rPr>
          <w:rFonts w:hint="eastAsia"/>
          <w:sz w:val="24"/>
        </w:rPr>
        <w:t>3</w:t>
      </w:r>
      <w:r>
        <w:rPr>
          <w:rFonts w:ascii="宋体" w:hAnsi="宋体" w:cs="宋体" w:hint="eastAsia"/>
          <w:sz w:val="24"/>
        </w:rPr>
        <w:t>)</w:t>
      </w:r>
      <w:r>
        <w:rPr>
          <w:rFonts w:hint="eastAsia"/>
          <w:sz w:val="24"/>
        </w:rPr>
        <w:t>项序号改为“</w:t>
      </w:r>
      <w:r>
        <w:rPr>
          <w:rFonts w:ascii="宋体" w:hAnsi="宋体" w:cs="宋体" w:hint="eastAsia"/>
          <w:sz w:val="24"/>
        </w:rPr>
        <w:t>(</w:t>
      </w:r>
      <w:r>
        <w:rPr>
          <w:rFonts w:hint="eastAsia"/>
          <w:sz w:val="24"/>
        </w:rPr>
        <w:t>4</w:t>
      </w:r>
      <w:r>
        <w:rPr>
          <w:rFonts w:ascii="宋体" w:hAnsi="宋体" w:cs="宋体" w:hint="eastAsia"/>
          <w:sz w:val="24"/>
        </w:rPr>
        <w:t>)</w:t>
      </w:r>
      <w:r>
        <w:rPr>
          <w:rFonts w:hint="eastAsia"/>
          <w:sz w:val="24"/>
        </w:rPr>
        <w:t>”</w:t>
      </w:r>
      <w:r>
        <w:rPr>
          <w:rFonts w:ascii="宋体" w:hAnsi="宋体" w:cs="宋体" w:hint="eastAsia"/>
          <w:sz w:val="24"/>
        </w:rPr>
        <w:t>；原</w:t>
      </w:r>
      <w:r>
        <w:rPr>
          <w:rFonts w:hint="eastAsia"/>
          <w:sz w:val="24"/>
        </w:rPr>
        <w:t>4.2</w:t>
      </w:r>
      <w:r>
        <w:rPr>
          <w:rFonts w:ascii="宋体" w:hAnsi="宋体" w:cs="宋体" w:hint="eastAsia"/>
          <w:sz w:val="24"/>
        </w:rPr>
        <w:t>条至</w:t>
      </w:r>
      <w:r>
        <w:rPr>
          <w:rFonts w:hint="eastAsia"/>
          <w:sz w:val="24"/>
        </w:rPr>
        <w:t>4.6</w:t>
      </w:r>
      <w:r>
        <w:rPr>
          <w:rFonts w:ascii="宋体" w:hAnsi="宋体" w:cs="宋体" w:hint="eastAsia"/>
          <w:sz w:val="24"/>
        </w:rPr>
        <w:t>条序号顺延修改为“</w:t>
      </w:r>
      <w:r>
        <w:rPr>
          <w:rFonts w:hint="eastAsia"/>
          <w:sz w:val="24"/>
        </w:rPr>
        <w:t>4.3</w:t>
      </w:r>
      <w:r>
        <w:rPr>
          <w:rFonts w:ascii="宋体" w:hAnsi="宋体" w:cs="宋体" w:hint="eastAsia"/>
          <w:sz w:val="24"/>
        </w:rPr>
        <w:t>至</w:t>
      </w:r>
      <w:r>
        <w:rPr>
          <w:rFonts w:hint="eastAsia"/>
          <w:sz w:val="24"/>
        </w:rPr>
        <w:t>4.7</w:t>
      </w:r>
      <w:r>
        <w:rPr>
          <w:rFonts w:ascii="宋体" w:hAnsi="宋体" w:cs="宋体" w:hint="eastAsia"/>
          <w:sz w:val="24"/>
        </w:rPr>
        <w:t>”。</w:t>
      </w:r>
    </w:p>
    <w:sectPr w:rsidR="00F85B31">
      <w:footerReference w:type="default" r:id="rId7"/>
      <w:pgSz w:w="11906" w:h="16838"/>
      <w:pgMar w:top="1701" w:right="1701" w:bottom="1701"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3C37" w14:textId="77777777" w:rsidR="00B87B29" w:rsidRDefault="00B87B29">
      <w:r>
        <w:separator/>
      </w:r>
    </w:p>
  </w:endnote>
  <w:endnote w:type="continuationSeparator" w:id="0">
    <w:p w14:paraId="4799BFDF" w14:textId="77777777" w:rsidR="00B87B29" w:rsidRDefault="00B8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2DD7" w14:textId="77777777" w:rsidR="00F85B31" w:rsidRDefault="00B87B29">
    <w:pPr>
      <w:pStyle w:val="a3"/>
    </w:pPr>
    <w:r>
      <w:rPr>
        <w:noProof/>
      </w:rPr>
      <mc:AlternateContent>
        <mc:Choice Requires="wps">
          <w:drawing>
            <wp:anchor distT="0" distB="0" distL="114300" distR="114300" simplePos="0" relativeHeight="251658240" behindDoc="0" locked="0" layoutInCell="1" allowOverlap="1" wp14:anchorId="1A1C007D" wp14:editId="3F4B7FA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DAF2B" w14:textId="77777777" w:rsidR="00F85B31" w:rsidRDefault="00B87B29">
                          <w:pPr>
                            <w:pStyle w:val="a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1C007D"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E6DAF2B" w14:textId="77777777" w:rsidR="00F85B31" w:rsidRDefault="00B87B29">
                    <w:pPr>
                      <w:pStyle w:val="a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FD2" w14:textId="77777777" w:rsidR="00B87B29" w:rsidRDefault="00B87B29">
      <w:r>
        <w:separator/>
      </w:r>
    </w:p>
  </w:footnote>
  <w:footnote w:type="continuationSeparator" w:id="0">
    <w:p w14:paraId="6F79B863" w14:textId="77777777" w:rsidR="00B87B29" w:rsidRDefault="00B87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8583BDD"/>
    <w:rsid w:val="004372B2"/>
    <w:rsid w:val="00B87B29"/>
    <w:rsid w:val="00F85B31"/>
    <w:rsid w:val="02F94056"/>
    <w:rsid w:val="05D96A72"/>
    <w:rsid w:val="09B77423"/>
    <w:rsid w:val="0ACA3657"/>
    <w:rsid w:val="0E8B3824"/>
    <w:rsid w:val="0EBD2D06"/>
    <w:rsid w:val="100B6F47"/>
    <w:rsid w:val="11ED003E"/>
    <w:rsid w:val="12A418DE"/>
    <w:rsid w:val="14396892"/>
    <w:rsid w:val="16690452"/>
    <w:rsid w:val="16FB790D"/>
    <w:rsid w:val="19252136"/>
    <w:rsid w:val="1B9029F6"/>
    <w:rsid w:val="1E036D7F"/>
    <w:rsid w:val="28583BDD"/>
    <w:rsid w:val="35C66095"/>
    <w:rsid w:val="397B0282"/>
    <w:rsid w:val="3B1210F5"/>
    <w:rsid w:val="3B151741"/>
    <w:rsid w:val="3E8605AC"/>
    <w:rsid w:val="3EE877CD"/>
    <w:rsid w:val="409F487D"/>
    <w:rsid w:val="42812220"/>
    <w:rsid w:val="45673F32"/>
    <w:rsid w:val="4A0A54C0"/>
    <w:rsid w:val="50EF3AD3"/>
    <w:rsid w:val="5129689D"/>
    <w:rsid w:val="5649110A"/>
    <w:rsid w:val="64FD63CA"/>
    <w:rsid w:val="65672A3C"/>
    <w:rsid w:val="6B7E5004"/>
    <w:rsid w:val="6C0111B6"/>
    <w:rsid w:val="6DED7F64"/>
    <w:rsid w:val="7054392C"/>
    <w:rsid w:val="75600F5C"/>
    <w:rsid w:val="78D42FB6"/>
    <w:rsid w:val="78EC510F"/>
    <w:rsid w:val="7C77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4DC47"/>
  <w15:docId w15:val="{50FA1860-3971-467E-A543-D12C6563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40"/>
        <w:tab w:val="right" w:pos="8300"/>
      </w:tabs>
      <w:snapToGrid w:val="0"/>
      <w:jc w:val="left"/>
    </w:pPr>
    <w:rPr>
      <w:rFonts w:ascii="Times New Roman" w:hAnsi="Times New Roman"/>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gaoweilong</dc:creator>
  <cp:lastModifiedBy>Thinkpad</cp:lastModifiedBy>
  <cp:revision>2</cp:revision>
  <cp:lastPrinted>2021-03-22T02:48:00Z</cp:lastPrinted>
  <dcterms:created xsi:type="dcterms:W3CDTF">2021-04-19T09:36:00Z</dcterms:created>
  <dcterms:modified xsi:type="dcterms:W3CDTF">2021-04-19T09:36:00Z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